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93" w:rsidRPr="00187293" w:rsidRDefault="00187293" w:rsidP="00187293">
      <w:pPr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  </w:t>
      </w:r>
      <w:bookmarkStart w:id="0" w:name="h216"/>
      <w:bookmarkEnd w:id="0"/>
      <w:r w:rsidRPr="00187293">
        <w:rPr>
          <w:rFonts w:ascii="Verdana" w:hAnsi="Verdana"/>
          <w:color w:val="000000"/>
          <w:sz w:val="20"/>
          <w:szCs w:val="19"/>
        </w:rPr>
        <w:t xml:space="preserve"> </w:t>
      </w:r>
    </w:p>
    <w:p w:rsidR="00187293" w:rsidRPr="00187293" w:rsidRDefault="00187293" w:rsidP="00187293">
      <w:pPr>
        <w:pStyle w:val="a4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   </w:t>
      </w:r>
      <w:bookmarkStart w:id="1" w:name="h217"/>
      <w:bookmarkEnd w:id="1"/>
    </w:p>
    <w:p w:rsidR="00187293" w:rsidRPr="00187293" w:rsidRDefault="00187293" w:rsidP="00187293">
      <w:pPr>
        <w:rPr>
          <w:rFonts w:ascii="Verdana" w:hAnsi="Verdana"/>
          <w:color w:val="000000"/>
          <w:sz w:val="20"/>
          <w:szCs w:val="19"/>
        </w:rPr>
      </w:pPr>
    </w:p>
    <w:p w:rsidR="00AD53E5" w:rsidRDefault="00187293" w:rsidP="00187293">
      <w:pPr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</w:t>
      </w:r>
    </w:p>
    <w:p w:rsidR="00AD53E5" w:rsidRDefault="00AD53E5" w:rsidP="00187293">
      <w:pPr>
        <w:rPr>
          <w:rFonts w:ascii="Verdana" w:hAnsi="Verdana"/>
          <w:color w:val="000000"/>
          <w:sz w:val="20"/>
          <w:szCs w:val="19"/>
        </w:rPr>
      </w:pPr>
    </w:p>
    <w:p w:rsidR="00187293" w:rsidRPr="00187293" w:rsidRDefault="00187293" w:rsidP="00187293">
      <w:pPr>
        <w:pStyle w:val="a4"/>
        <w:jc w:val="right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i/>
          <w:iCs/>
          <w:color w:val="000000"/>
          <w:sz w:val="20"/>
          <w:szCs w:val="19"/>
        </w:rPr>
        <w:t xml:space="preserve">Форма N 2-а </w:t>
      </w:r>
    </w:p>
    <w:p w:rsidR="00187293" w:rsidRPr="00187293" w:rsidRDefault="00187293" w:rsidP="00187293">
      <w:pPr>
        <w:pStyle w:val="a4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   </w:t>
      </w:r>
      <w:bookmarkStart w:id="2" w:name="h220"/>
      <w:bookmarkEnd w:id="2"/>
    </w:p>
    <w:p w:rsidR="00187293" w:rsidRPr="00187293" w:rsidRDefault="00187293" w:rsidP="00187293">
      <w:pPr>
        <w:pStyle w:val="a4"/>
        <w:jc w:val="center"/>
        <w:outlineLvl w:val="2"/>
        <w:rPr>
          <w:rFonts w:ascii="Verdana" w:hAnsi="Verdana"/>
          <w:b/>
          <w:bCs/>
          <w:color w:val="000000"/>
          <w:sz w:val="20"/>
          <w:szCs w:val="36"/>
        </w:rPr>
      </w:pPr>
      <w:r w:rsidRPr="00187293">
        <w:rPr>
          <w:rFonts w:ascii="Verdana" w:hAnsi="Verdana"/>
          <w:b/>
          <w:bCs/>
          <w:color w:val="000000"/>
          <w:sz w:val="20"/>
          <w:szCs w:val="36"/>
        </w:rPr>
        <w:t xml:space="preserve">ФОРМА РАСКРЫТИЯ ИНФОРМАЦИИ ОБ ОСНОВНЫХ ПОКАЗАТЕЛЯХ ФИНАНСОВО-ХОЗЯЙСТВЕННОЙ ДЕЯТЕЛЬНОСТИ, В ОТНОШЕНИИ КОТОРОЙ ОСУЩЕСТВЛЯЕТСЯ РЕГУЛИРОВАНИЕ В СООТВЕТСТВИИ С ФЕДЕРАЛЬНЫМ ЗАКОНОМ "О </w:t>
      </w:r>
      <w:bookmarkStart w:id="3" w:name="l213"/>
      <w:bookmarkEnd w:id="3"/>
      <w:r w:rsidRPr="00187293">
        <w:rPr>
          <w:rFonts w:ascii="Verdana" w:hAnsi="Verdana"/>
          <w:b/>
          <w:bCs/>
          <w:color w:val="000000"/>
          <w:sz w:val="20"/>
          <w:szCs w:val="36"/>
        </w:rPr>
        <w:t xml:space="preserve">ЕСТЕСТВЕННЫХ МОНОПОЛИЯХ", ВКЛЮЧАЯ СТРУКТУРУ ОСНОВНЫХ ПРОИЗВОДСТВЕННЫХ ЗАТРАТ НА ВЫПОЛНЕНИЕ РЕГУЛИРУЕМЫХ РАБОТ (ОКАЗАНИЕ УСЛУГ) </w:t>
      </w:r>
      <w:r w:rsidRPr="00187293">
        <w:rPr>
          <w:rFonts w:ascii="Verdana" w:hAnsi="Verdana"/>
          <w:b/>
          <w:bCs/>
          <w:color w:val="000000"/>
          <w:sz w:val="20"/>
          <w:szCs w:val="36"/>
        </w:rPr>
        <w:br/>
      </w:r>
      <w:r w:rsidR="00AD53E5" w:rsidRPr="00AD53E5">
        <w:rPr>
          <w:rFonts w:ascii="Verdana" w:hAnsi="Verdana"/>
          <w:b/>
          <w:bCs/>
          <w:color w:val="000000"/>
        </w:rPr>
        <w:t>ОАО «Краспригород»</w:t>
      </w:r>
      <w:r w:rsidRPr="00AD53E5">
        <w:rPr>
          <w:rFonts w:ascii="Verdana" w:hAnsi="Verdana"/>
          <w:b/>
          <w:bCs/>
          <w:color w:val="000000"/>
        </w:rPr>
        <w:t xml:space="preserve"> </w:t>
      </w:r>
      <w:r w:rsidRPr="00AD53E5">
        <w:rPr>
          <w:rFonts w:ascii="Verdana" w:hAnsi="Verdana"/>
          <w:b/>
          <w:bCs/>
          <w:color w:val="000000"/>
        </w:rPr>
        <w:br/>
      </w:r>
      <w:bookmarkStart w:id="4" w:name="l193"/>
      <w:bookmarkEnd w:id="4"/>
      <w:r w:rsidRPr="00187293">
        <w:rPr>
          <w:rFonts w:ascii="Verdana" w:hAnsi="Verdana"/>
          <w:b/>
          <w:bCs/>
          <w:color w:val="000000"/>
          <w:sz w:val="20"/>
          <w:szCs w:val="36"/>
        </w:rPr>
        <w:t xml:space="preserve">(наименование субъекта естественной монополии)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937"/>
        <w:gridCol w:w="1488"/>
        <w:gridCol w:w="940"/>
      </w:tblGrid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bookmarkStart w:id="5" w:name="l194"/>
            <w:bookmarkEnd w:id="5"/>
            <w:r w:rsidRPr="00187293">
              <w:rPr>
                <w:rFonts w:ascii="Verdana" w:hAnsi="Verdana"/>
                <w:color w:val="000000"/>
                <w:sz w:val="20"/>
              </w:rPr>
              <w:t xml:space="preserve">Наименование показателей финансово-хозяйственной деятельности субъекта естественной монополии в сфере железнодорожных перевозок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E5" w:rsidRDefault="00187293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Год (отчет)</w:t>
            </w:r>
          </w:p>
          <w:p w:rsidR="00187293" w:rsidRPr="00187293" w:rsidRDefault="00AD53E5" w:rsidP="00BE6619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201</w:t>
            </w:r>
            <w:r w:rsidR="00BE6619">
              <w:rPr>
                <w:rFonts w:ascii="Verdana" w:hAnsi="Verdana"/>
                <w:color w:val="000000"/>
                <w:sz w:val="20"/>
              </w:rPr>
              <w:t>2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Доходы всего по основным видам деятельности</w:t>
            </w:r>
            <w:r w:rsidR="00731F42" w:rsidRPr="00731F42">
              <w:rPr>
                <w:rFonts w:ascii="Verdana" w:hAnsi="Verdana"/>
                <w:color w:val="000000"/>
                <w:sz w:val="20"/>
              </w:rPr>
              <w:t>*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BE6619" w:rsidP="00856FFF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246,08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в том числе доходы по регулируемым видам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BE6619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 w:rsidR="00BE6619">
              <w:rPr>
                <w:rFonts w:ascii="Verdana" w:hAnsi="Verdana"/>
                <w:color w:val="000000"/>
                <w:sz w:val="20"/>
              </w:rPr>
              <w:t>246,08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Расходы всего</w:t>
            </w:r>
            <w:r w:rsidR="00731F42">
              <w:rPr>
                <w:rFonts w:ascii="Verdana" w:hAnsi="Verdana"/>
                <w:color w:val="000000"/>
                <w:sz w:val="20"/>
                <w:lang w:val="en-US"/>
              </w:rPr>
              <w:t>*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529FA" w:rsidP="00724184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743,</w:t>
            </w:r>
            <w:r w:rsidR="00724184">
              <w:rPr>
                <w:rFonts w:ascii="Verdana" w:hAnsi="Verdana"/>
                <w:color w:val="000000"/>
                <w:sz w:val="20"/>
              </w:rPr>
              <w:t>07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в том числе расходы по регулируемым видам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 w:rsidR="00D3232C">
              <w:rPr>
                <w:rFonts w:ascii="Verdana" w:hAnsi="Verdana"/>
                <w:color w:val="000000"/>
                <w:sz w:val="20"/>
              </w:rPr>
              <w:t>743,07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расходы на оплату труда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1529FA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 w:rsidR="001529FA">
              <w:rPr>
                <w:rFonts w:ascii="Verdana" w:hAnsi="Verdana"/>
                <w:color w:val="000000"/>
                <w:sz w:val="20"/>
              </w:rPr>
              <w:t>97,3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отчисления на социальные нужды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1529FA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 w:rsidR="001529FA">
              <w:rPr>
                <w:rFonts w:ascii="Verdana" w:hAnsi="Verdana"/>
                <w:color w:val="000000"/>
                <w:sz w:val="20"/>
              </w:rPr>
              <w:t>27,7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материалы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1529FA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 w:rsidR="001529FA">
              <w:rPr>
                <w:rFonts w:ascii="Verdana" w:hAnsi="Verdana"/>
                <w:color w:val="000000"/>
                <w:sz w:val="20"/>
              </w:rPr>
              <w:t>4,9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топливо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1529FA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 w:rsidR="00204BFA">
              <w:rPr>
                <w:rFonts w:ascii="Verdana" w:hAnsi="Verdana"/>
                <w:color w:val="000000"/>
                <w:sz w:val="20"/>
              </w:rPr>
              <w:t>0,</w:t>
            </w:r>
            <w:r w:rsidR="001529FA">
              <w:rPr>
                <w:rFonts w:ascii="Verdana" w:hAnsi="Verdana"/>
                <w:color w:val="000000"/>
                <w:sz w:val="20"/>
              </w:rPr>
              <w:t>5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bookmarkStart w:id="6" w:name="l195"/>
            <w:bookmarkEnd w:id="6"/>
            <w:r w:rsidRPr="00187293">
              <w:rPr>
                <w:rFonts w:ascii="Verdana" w:hAnsi="Verdana"/>
                <w:color w:val="000000"/>
                <w:sz w:val="20"/>
              </w:rPr>
              <w:t xml:space="preserve">- электроэнергия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 w:rsidR="00204BFA">
              <w:rPr>
                <w:rFonts w:ascii="Verdana" w:hAnsi="Verdana"/>
                <w:color w:val="000000"/>
                <w:sz w:val="20"/>
              </w:rPr>
              <w:t>0</w:t>
            </w:r>
            <w:r w:rsidR="00D07A25">
              <w:rPr>
                <w:rFonts w:ascii="Verdana" w:hAnsi="Verdana"/>
                <w:color w:val="000000"/>
                <w:sz w:val="20"/>
              </w:rPr>
              <w:t>,01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прочие материальные затраты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529FA" w:rsidP="001529FA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3,73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амортизация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1529FA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 w:rsidR="001529FA">
              <w:rPr>
                <w:rFonts w:ascii="Verdana" w:hAnsi="Verdana"/>
                <w:color w:val="000000"/>
                <w:sz w:val="20"/>
              </w:rPr>
              <w:t>2,9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прочие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1529FA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 w:rsidR="001529FA">
              <w:rPr>
                <w:rFonts w:ascii="Verdana" w:hAnsi="Verdana"/>
                <w:color w:val="000000"/>
                <w:sz w:val="20"/>
              </w:rPr>
              <w:t>605,99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Прибыль (убыток) всего по основным видам деятельности</w:t>
            </w:r>
            <w:r w:rsidR="00731F42" w:rsidRPr="00731F42">
              <w:rPr>
                <w:rFonts w:ascii="Verdana" w:hAnsi="Verdana"/>
                <w:color w:val="000000"/>
                <w:sz w:val="20"/>
              </w:rPr>
              <w:t>*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856FFF" w:rsidRDefault="001529FA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-496,99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в том числе прибыль (убыток) по регулируемым видам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856FFF" w:rsidRDefault="001529FA" w:rsidP="00856FFF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-496,99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Прочие доходы всего</w:t>
            </w:r>
            <w:r w:rsidR="00731F42">
              <w:rPr>
                <w:rFonts w:ascii="Verdana" w:hAnsi="Verdana"/>
                <w:color w:val="000000"/>
                <w:sz w:val="20"/>
                <w:lang w:val="en-US"/>
              </w:rPr>
              <w:t>*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1529FA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 w:rsidR="001529FA">
              <w:rPr>
                <w:rFonts w:ascii="Verdana" w:hAnsi="Verdana"/>
                <w:color w:val="000000"/>
                <w:sz w:val="20"/>
              </w:rPr>
              <w:t>511,6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Прочие расходы всего</w:t>
            </w:r>
            <w:r w:rsidR="00731F42">
              <w:rPr>
                <w:rFonts w:ascii="Verdana" w:hAnsi="Verdana"/>
                <w:color w:val="000000"/>
                <w:sz w:val="20"/>
                <w:lang w:val="en-US"/>
              </w:rPr>
              <w:t>*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1529FA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 w:rsidR="001529FA">
              <w:rPr>
                <w:rFonts w:ascii="Verdana" w:hAnsi="Verdana"/>
                <w:color w:val="000000"/>
                <w:sz w:val="20"/>
              </w:rPr>
              <w:t>15,7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731F42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Результат от прочих доходов и расходов </w:t>
            </w:r>
            <w:r w:rsidR="00731F42" w:rsidRPr="00731F42">
              <w:rPr>
                <w:rFonts w:ascii="Verdana" w:hAnsi="Verdana"/>
                <w:color w:val="000000"/>
                <w:sz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529FA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495,9</w:t>
            </w:r>
            <w:r w:rsidR="00724184">
              <w:rPr>
                <w:rFonts w:ascii="Verdana" w:hAnsi="Verdana"/>
                <w:color w:val="000000"/>
                <w:sz w:val="20"/>
              </w:rPr>
              <w:t>1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731F42" w:rsidRDefault="00187293">
            <w:pPr>
              <w:rPr>
                <w:rFonts w:ascii="Verdana" w:hAnsi="Verdana"/>
                <w:color w:val="000000"/>
                <w:sz w:val="20"/>
                <w:lang w:val="en-US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Прибыль (убыток) до налогообложения </w:t>
            </w:r>
            <w:r w:rsidR="00731F42">
              <w:rPr>
                <w:rFonts w:ascii="Verdana" w:hAnsi="Verdana"/>
                <w:color w:val="000000"/>
                <w:sz w:val="20"/>
                <w:lang w:val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1529FA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 w:rsidR="00B7305E">
              <w:rPr>
                <w:rFonts w:ascii="Verdana" w:hAnsi="Verdana"/>
                <w:color w:val="000000"/>
                <w:sz w:val="20"/>
              </w:rPr>
              <w:t>-</w:t>
            </w:r>
            <w:r w:rsidR="001529FA">
              <w:rPr>
                <w:rFonts w:ascii="Verdana" w:hAnsi="Verdana"/>
                <w:color w:val="000000"/>
                <w:sz w:val="20"/>
              </w:rPr>
              <w:t>1,08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Налог на прибыль и иные аналогичные обязательства </w:t>
            </w:r>
            <w:r w:rsidR="00724184">
              <w:rPr>
                <w:rFonts w:ascii="Verdana" w:hAnsi="Verdana"/>
                <w:color w:val="000000"/>
                <w:sz w:val="20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724184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 w:rsidR="00724184">
              <w:rPr>
                <w:rFonts w:ascii="Verdana" w:hAnsi="Verdana"/>
                <w:color w:val="000000"/>
                <w:sz w:val="20"/>
              </w:rPr>
              <w:t>0,93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bookmarkStart w:id="7" w:name="l214"/>
            <w:bookmarkEnd w:id="7"/>
            <w:r w:rsidRPr="00187293">
              <w:rPr>
                <w:rFonts w:ascii="Verdana" w:hAnsi="Verdana"/>
                <w:color w:val="000000"/>
                <w:sz w:val="20"/>
              </w:rPr>
              <w:t xml:space="preserve">Чистая прибыль (убыток) </w:t>
            </w:r>
            <w:r w:rsidR="00731F42">
              <w:rPr>
                <w:rFonts w:ascii="Verdana" w:hAnsi="Verdana"/>
                <w:color w:val="000000"/>
                <w:sz w:val="20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724184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 w:rsidR="009249C0">
              <w:rPr>
                <w:rFonts w:ascii="Verdana" w:hAnsi="Verdana"/>
                <w:color w:val="000000"/>
                <w:sz w:val="20"/>
              </w:rPr>
              <w:t>-</w:t>
            </w:r>
            <w:r w:rsidR="00724184">
              <w:rPr>
                <w:rFonts w:ascii="Verdana" w:hAnsi="Verdana"/>
                <w:color w:val="000000"/>
                <w:sz w:val="20"/>
              </w:rPr>
              <w:t>3,325</w:t>
            </w:r>
          </w:p>
        </w:tc>
      </w:tr>
    </w:tbl>
    <w:p w:rsidR="00187293" w:rsidRPr="00187293" w:rsidRDefault="00187293" w:rsidP="00187293">
      <w:pPr>
        <w:pStyle w:val="a4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</w:t>
      </w:r>
      <w:r w:rsidR="00731F42" w:rsidRPr="00731F42">
        <w:rPr>
          <w:rFonts w:ascii="Verdana" w:hAnsi="Verdana"/>
          <w:color w:val="000000"/>
          <w:sz w:val="20"/>
          <w:szCs w:val="19"/>
        </w:rPr>
        <w:t>*</w:t>
      </w:r>
      <w:r w:rsidR="00AF69D6">
        <w:rPr>
          <w:rFonts w:ascii="Verdana" w:hAnsi="Verdana"/>
          <w:color w:val="000000"/>
          <w:sz w:val="20"/>
          <w:szCs w:val="19"/>
        </w:rPr>
        <w:t xml:space="preserve"> </w:t>
      </w:r>
      <w:r w:rsidR="00731F42">
        <w:rPr>
          <w:rFonts w:ascii="Verdana" w:hAnsi="Verdana"/>
          <w:color w:val="000000"/>
          <w:sz w:val="20"/>
          <w:szCs w:val="19"/>
        </w:rPr>
        <w:t>данные представлены без учета прочих видов деятельности</w:t>
      </w:r>
      <w:r w:rsidRPr="00187293">
        <w:rPr>
          <w:rFonts w:ascii="Verdana" w:hAnsi="Verdana"/>
          <w:color w:val="000000"/>
          <w:sz w:val="20"/>
          <w:szCs w:val="19"/>
        </w:rPr>
        <w:br/>
      </w:r>
      <w:r w:rsidR="00731F42">
        <w:rPr>
          <w:rFonts w:ascii="Verdana" w:hAnsi="Verdana"/>
          <w:color w:val="000000"/>
          <w:sz w:val="20"/>
          <w:szCs w:val="19"/>
        </w:rPr>
        <w:t>**</w:t>
      </w:r>
      <w:r w:rsidR="00AF69D6">
        <w:rPr>
          <w:rFonts w:ascii="Verdana" w:hAnsi="Verdana"/>
          <w:color w:val="000000"/>
          <w:sz w:val="20"/>
          <w:szCs w:val="19"/>
        </w:rPr>
        <w:t xml:space="preserve"> </w:t>
      </w:r>
      <w:r w:rsidR="00731F42">
        <w:rPr>
          <w:rFonts w:ascii="Verdana" w:hAnsi="Verdana"/>
          <w:color w:val="000000"/>
          <w:sz w:val="20"/>
          <w:szCs w:val="19"/>
        </w:rPr>
        <w:t>чистая прибыль</w:t>
      </w:r>
      <w:r w:rsidR="00AF69D6">
        <w:rPr>
          <w:rFonts w:ascii="Verdana" w:hAnsi="Verdana"/>
          <w:color w:val="000000"/>
          <w:sz w:val="20"/>
          <w:szCs w:val="19"/>
        </w:rPr>
        <w:t xml:space="preserve"> рассчитана с учетом прочих видов деятельности и</w:t>
      </w:r>
      <w:r w:rsidR="00731F42">
        <w:rPr>
          <w:rFonts w:ascii="Verdana" w:hAnsi="Verdana"/>
          <w:color w:val="000000"/>
          <w:sz w:val="20"/>
          <w:szCs w:val="19"/>
        </w:rPr>
        <w:t xml:space="preserve"> соответствует  Форме 2 «Отчет о прибылях и убытках» </w:t>
      </w:r>
      <w:r w:rsidRPr="00187293">
        <w:rPr>
          <w:rFonts w:ascii="Verdana" w:hAnsi="Verdana"/>
          <w:color w:val="000000"/>
          <w:sz w:val="20"/>
          <w:szCs w:val="19"/>
        </w:rPr>
        <w:br/>
        <w:t> </w:t>
      </w:r>
    </w:p>
    <w:p w:rsidR="00D936FC" w:rsidRDefault="00D936FC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  <w:bookmarkStart w:id="8" w:name="l196"/>
      <w:bookmarkEnd w:id="8"/>
    </w:p>
    <w:p w:rsidR="00D936FC" w:rsidRDefault="00D936FC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D936FC" w:rsidRDefault="00D936FC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D936FC" w:rsidRDefault="00D936FC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D936FC" w:rsidRDefault="00D936FC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187293" w:rsidRDefault="00187293" w:rsidP="00187293">
      <w:pPr>
        <w:pStyle w:val="a4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</w:t>
      </w:r>
    </w:p>
    <w:p w:rsidR="00D210BE" w:rsidRDefault="00D210BE" w:rsidP="00187293">
      <w:pPr>
        <w:pStyle w:val="a4"/>
        <w:rPr>
          <w:rFonts w:ascii="Verdana" w:hAnsi="Verdana"/>
          <w:color w:val="000000"/>
          <w:sz w:val="20"/>
          <w:szCs w:val="19"/>
        </w:rPr>
      </w:pPr>
    </w:p>
    <w:p w:rsidR="00D210BE" w:rsidRPr="00187293" w:rsidRDefault="00D210BE" w:rsidP="00187293">
      <w:pPr>
        <w:pStyle w:val="a4"/>
        <w:rPr>
          <w:rFonts w:ascii="Verdana" w:hAnsi="Verdana"/>
          <w:color w:val="000000"/>
          <w:sz w:val="20"/>
          <w:szCs w:val="19"/>
        </w:rPr>
      </w:pPr>
    </w:p>
    <w:p w:rsidR="003A615D" w:rsidRDefault="003A615D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  <w:bookmarkStart w:id="9" w:name="l202"/>
      <w:bookmarkEnd w:id="9"/>
    </w:p>
    <w:p w:rsidR="005A1DC1" w:rsidRDefault="005A1DC1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5A1DC1" w:rsidRDefault="005A1DC1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187293" w:rsidRPr="00187293" w:rsidRDefault="00187293" w:rsidP="00187293">
      <w:pPr>
        <w:pStyle w:val="a4"/>
        <w:jc w:val="right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i/>
          <w:iCs/>
          <w:color w:val="000000"/>
          <w:sz w:val="20"/>
          <w:szCs w:val="19"/>
        </w:rPr>
        <w:lastRenderedPageBreak/>
        <w:t xml:space="preserve">Форма N 2-г </w:t>
      </w:r>
    </w:p>
    <w:p w:rsidR="00187293" w:rsidRPr="00187293" w:rsidRDefault="00187293" w:rsidP="00187293">
      <w:pPr>
        <w:pStyle w:val="a4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   </w:t>
      </w:r>
      <w:bookmarkStart w:id="10" w:name="h223"/>
      <w:bookmarkEnd w:id="10"/>
    </w:p>
    <w:p w:rsidR="009249C0" w:rsidRDefault="00187293" w:rsidP="00187293">
      <w:pPr>
        <w:pStyle w:val="a4"/>
        <w:jc w:val="center"/>
        <w:outlineLvl w:val="2"/>
        <w:rPr>
          <w:rFonts w:ascii="Verdana" w:hAnsi="Verdana"/>
          <w:b/>
          <w:bCs/>
          <w:color w:val="000000"/>
          <w:sz w:val="20"/>
          <w:szCs w:val="36"/>
        </w:rPr>
      </w:pPr>
      <w:r w:rsidRPr="00187293">
        <w:rPr>
          <w:rFonts w:ascii="Verdana" w:hAnsi="Verdana"/>
          <w:b/>
          <w:bCs/>
          <w:color w:val="000000"/>
          <w:sz w:val="20"/>
          <w:szCs w:val="36"/>
        </w:rPr>
        <w:t>ОБЪЕМЫ ПЕРЕВОЗОК ПАССАЖИРОВ ЖЕЛЕЗНОДОРОЖНЫМ ТРАНСПОРТОМ ОБЩЕГО ПОЛЬЗОВАНИЯ В ПРИГ</w:t>
      </w:r>
      <w:r w:rsidR="009249C0">
        <w:rPr>
          <w:rFonts w:ascii="Verdana" w:hAnsi="Verdana"/>
          <w:b/>
          <w:bCs/>
          <w:color w:val="000000"/>
          <w:sz w:val="20"/>
          <w:szCs w:val="36"/>
        </w:rPr>
        <w:t xml:space="preserve">ОРОДНОМ СООБЩЕНИИ </w:t>
      </w:r>
      <w:r w:rsidR="009249C0">
        <w:rPr>
          <w:rFonts w:ascii="Verdana" w:hAnsi="Verdana"/>
          <w:b/>
          <w:bCs/>
          <w:color w:val="000000"/>
          <w:sz w:val="20"/>
          <w:szCs w:val="36"/>
        </w:rPr>
        <w:br/>
      </w:r>
      <w:r w:rsidR="009249C0" w:rsidRPr="009249C0">
        <w:rPr>
          <w:rFonts w:ascii="Verdana" w:hAnsi="Verdana"/>
          <w:b/>
          <w:bCs/>
          <w:color w:val="000000"/>
        </w:rPr>
        <w:t>ОАО «Краспригород»</w:t>
      </w:r>
    </w:p>
    <w:p w:rsidR="00187293" w:rsidRPr="00187293" w:rsidRDefault="00187293" w:rsidP="00187293">
      <w:pPr>
        <w:pStyle w:val="a4"/>
        <w:jc w:val="center"/>
        <w:outlineLvl w:val="2"/>
        <w:rPr>
          <w:rFonts w:ascii="Verdana" w:hAnsi="Verdana"/>
          <w:b/>
          <w:bCs/>
          <w:color w:val="000000"/>
          <w:sz w:val="20"/>
          <w:szCs w:val="36"/>
        </w:rPr>
      </w:pPr>
      <w:r w:rsidRPr="00187293">
        <w:rPr>
          <w:rFonts w:ascii="Verdana" w:hAnsi="Verdana"/>
          <w:b/>
          <w:bCs/>
          <w:color w:val="000000"/>
          <w:sz w:val="20"/>
          <w:szCs w:val="36"/>
        </w:rPr>
        <w:t xml:space="preserve">(наименование субъекта естественной монополии)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10"/>
        <w:gridCol w:w="4399"/>
        <w:gridCol w:w="929"/>
        <w:gridCol w:w="1209"/>
        <w:gridCol w:w="1209"/>
        <w:gridCol w:w="1209"/>
      </w:tblGrid>
      <w:tr w:rsidR="00775F03" w:rsidRPr="00187293" w:rsidTr="003315E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bookmarkStart w:id="11" w:name="l203"/>
            <w:bookmarkEnd w:id="11"/>
            <w:r w:rsidRPr="00187293">
              <w:rPr>
                <w:rFonts w:ascii="Verdana" w:hAnsi="Verdana"/>
                <w:color w:val="000000"/>
                <w:sz w:val="20"/>
              </w:rPr>
              <w:t xml:space="preserve">N п/п 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Ед-ца изм.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BE24D9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201</w:t>
            </w:r>
            <w:r w:rsidR="00D3232C">
              <w:rPr>
                <w:rFonts w:ascii="Verdana" w:hAnsi="Verdana"/>
                <w:color w:val="000000"/>
                <w:sz w:val="20"/>
              </w:rPr>
              <w:t>2г</w:t>
            </w:r>
            <w:r>
              <w:rPr>
                <w:rFonts w:ascii="Verdana" w:hAnsi="Verdana"/>
                <w:color w:val="000000"/>
                <w:sz w:val="20"/>
              </w:rPr>
              <w:t>од</w:t>
            </w:r>
          </w:p>
          <w:p w:rsidR="00BE24D9" w:rsidRPr="00187293" w:rsidRDefault="00BE24D9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03" w:rsidRDefault="00775F03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Количество</w:t>
            </w:r>
          </w:p>
          <w:p w:rsidR="00775F03" w:rsidRDefault="00BE24D9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План </w:t>
            </w:r>
          </w:p>
          <w:p w:rsidR="00BE24D9" w:rsidRDefault="00BE24D9" w:rsidP="00D3232C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201</w:t>
            </w:r>
            <w:r w:rsidR="00D3232C">
              <w:rPr>
                <w:rFonts w:ascii="Verdana" w:hAnsi="Verdana"/>
                <w:color w:val="000000"/>
                <w:sz w:val="20"/>
              </w:rPr>
              <w:t>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03" w:rsidRDefault="00775F03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Количество</w:t>
            </w:r>
          </w:p>
          <w:p w:rsidR="00775F03" w:rsidRDefault="00BE24D9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План </w:t>
            </w:r>
          </w:p>
          <w:p w:rsidR="00BE24D9" w:rsidRDefault="00BE24D9" w:rsidP="00D3232C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201</w:t>
            </w:r>
            <w:r w:rsidR="00D3232C">
              <w:rPr>
                <w:rFonts w:ascii="Verdana" w:hAnsi="Verdana"/>
                <w:color w:val="000000"/>
                <w:sz w:val="20"/>
              </w:rPr>
              <w:t>4</w:t>
            </w:r>
          </w:p>
        </w:tc>
      </w:tr>
      <w:tr w:rsidR="00775F03" w:rsidRPr="00187293" w:rsidTr="003315E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1 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2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3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4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775F03" w:rsidRPr="00187293" w:rsidTr="003315E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I 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Объемы перевозок пассажиров железнодорожным транспортом общего пользования (отправленные пассажиры) за год всего в пригородном сообщении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 w:rsidP="00C6654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C43D20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6,866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C43D20" w:rsidP="00BE24D9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6,628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C43D20" w:rsidP="00BE24D9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6,628</w:t>
            </w:r>
          </w:p>
        </w:tc>
      </w:tr>
      <w:tr w:rsidR="00775F03" w:rsidRPr="00187293" w:rsidTr="003315E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1.</w:t>
            </w:r>
            <w:r>
              <w:rPr>
                <w:rFonts w:ascii="Verdana" w:hAnsi="Verdana"/>
                <w:color w:val="000000"/>
                <w:sz w:val="20"/>
              </w:rPr>
              <w:t>1.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BE24D9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в том числе по субъект</w:t>
            </w:r>
            <w:r>
              <w:rPr>
                <w:rFonts w:ascii="Verdana" w:hAnsi="Verdana"/>
                <w:color w:val="000000"/>
                <w:sz w:val="20"/>
              </w:rPr>
              <w:t>ам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 Российской Федерации </w:t>
            </w:r>
          </w:p>
          <w:p w:rsidR="00BE24D9" w:rsidRPr="00187293" w:rsidRDefault="00BE24D9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– Красноярский край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 w:rsidP="00C6654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2C" w:rsidRDefault="00D3232C" w:rsidP="00CC2275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D3232C" w:rsidRDefault="00D3232C" w:rsidP="00CC2275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BE24D9" w:rsidRPr="00187293" w:rsidRDefault="00C43D20" w:rsidP="00C43D20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5,956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20" w:rsidRDefault="00C43D20" w:rsidP="00CC2275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C43D20" w:rsidRDefault="00C43D20" w:rsidP="00CC2275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BE24D9" w:rsidRDefault="00C43D20" w:rsidP="00CC2275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6,075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20" w:rsidRDefault="00C43D20" w:rsidP="00CC2275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C43D20" w:rsidRDefault="00C43D20" w:rsidP="00CC2275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BE24D9" w:rsidRDefault="00C43D20" w:rsidP="00CC2275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6,075</w:t>
            </w:r>
          </w:p>
        </w:tc>
      </w:tr>
      <w:tr w:rsidR="00775F03" w:rsidRPr="00187293" w:rsidTr="003315EE">
        <w:trPr>
          <w:trHeight w:val="56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1.2.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-Республика Хакасия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 w:rsidP="00C6654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C43D20" w:rsidP="00CC2275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0,326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C43D20" w:rsidP="00BE24D9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0,328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BE24D9" w:rsidP="00CC2275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0,32</w:t>
            </w:r>
            <w:r w:rsidR="00C43D20">
              <w:rPr>
                <w:rFonts w:ascii="Verdana" w:hAnsi="Verdana"/>
                <w:color w:val="000000"/>
                <w:sz w:val="20"/>
              </w:rPr>
              <w:t>8</w:t>
            </w:r>
          </w:p>
        </w:tc>
      </w:tr>
      <w:tr w:rsidR="00775F03" w:rsidRPr="00187293" w:rsidTr="003315E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1.3.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- Кемеровская область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 w:rsidP="00C6654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C43D20" w:rsidP="00F80F00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0,226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C43D20" w:rsidP="00BE24D9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0,226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C43D20" w:rsidP="00F80F00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0,226</w:t>
            </w:r>
          </w:p>
        </w:tc>
      </w:tr>
      <w:tr w:rsidR="00775F03" w:rsidRPr="00187293" w:rsidTr="003315EE">
        <w:trPr>
          <w:trHeight w:val="34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1.4.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-Республика Бурятия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BE24D9" w:rsidP="00F80F00">
            <w:pPr>
              <w:jc w:val="center"/>
            </w:pPr>
            <w:r w:rsidRPr="001E6DF0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D3232C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BE24D9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BE24D9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</w:tr>
      <w:tr w:rsidR="00775F03" w:rsidRPr="00187293" w:rsidTr="003315EE">
        <w:trPr>
          <w:trHeight w:val="41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1.5.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-Иркутская область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BE24D9" w:rsidP="00F80F00">
            <w:pPr>
              <w:jc w:val="center"/>
            </w:pPr>
            <w:r w:rsidRPr="001E6DF0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D3232C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BE24D9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BE24D9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</w:tr>
      <w:tr w:rsidR="00775F03" w:rsidRPr="00187293" w:rsidTr="003315E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1.6.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-Забайкальский край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BE24D9" w:rsidP="00F80F00">
            <w:pPr>
              <w:jc w:val="center"/>
            </w:pPr>
            <w:r w:rsidRPr="001E6DF0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C43D20" w:rsidP="00CC2275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0,359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D3232C" w:rsidP="00BE24D9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BE24D9" w:rsidP="00CC2275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</w:tr>
      <w:tr w:rsidR="003315EE" w:rsidRPr="00187293" w:rsidTr="003315E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Pr="00187293" w:rsidRDefault="003315EE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II 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Pr="00187293" w:rsidRDefault="003315EE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Объемы перевозок пассажиров железнодорожным транспортом общего пользования (перевезенные пассажиры) за год всего, в пригородном сообщении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Pr="00187293" w:rsidRDefault="003315EE" w:rsidP="00C6654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Pr="00187293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6,866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6,628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6,628</w:t>
            </w:r>
          </w:p>
        </w:tc>
      </w:tr>
      <w:tr w:rsidR="003315EE" w:rsidRPr="00187293" w:rsidTr="003315E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Pr="00187293" w:rsidRDefault="003315E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2.1.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9A2A0B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в том числе по субъект</w:t>
            </w:r>
            <w:r>
              <w:rPr>
                <w:rFonts w:ascii="Verdana" w:hAnsi="Verdana"/>
                <w:color w:val="000000"/>
                <w:sz w:val="20"/>
              </w:rPr>
              <w:t>ам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 Российской Федерации </w:t>
            </w:r>
          </w:p>
          <w:p w:rsidR="003315EE" w:rsidRPr="00187293" w:rsidRDefault="003315EE" w:rsidP="009A2A0B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– Красноярский край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Pr="00187293" w:rsidRDefault="003315EE" w:rsidP="009A2A0B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3315EE" w:rsidRPr="00187293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5,956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6,075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6,075</w:t>
            </w:r>
          </w:p>
        </w:tc>
      </w:tr>
      <w:tr w:rsidR="003315EE" w:rsidRPr="00187293" w:rsidTr="003315E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Pr="00187293" w:rsidRDefault="003315E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2.2.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Pr="00187293" w:rsidRDefault="003315EE" w:rsidP="009A2A0B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-Республика Хакасия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Pr="00187293" w:rsidRDefault="003315EE" w:rsidP="009A2A0B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Pr="00187293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0,326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0,328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0,328</w:t>
            </w:r>
          </w:p>
        </w:tc>
      </w:tr>
      <w:tr w:rsidR="003315EE" w:rsidRPr="00187293" w:rsidTr="003315E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Pr="00187293" w:rsidRDefault="003315E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2.3.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Pr="00187293" w:rsidRDefault="003315EE" w:rsidP="009A2A0B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- Кемеровская область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Pr="00187293" w:rsidRDefault="003315EE" w:rsidP="009A2A0B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Pr="00187293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0,226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0,226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0,226</w:t>
            </w:r>
          </w:p>
        </w:tc>
      </w:tr>
      <w:tr w:rsidR="003315EE" w:rsidRPr="00187293" w:rsidTr="003315E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Pr="00187293" w:rsidRDefault="003315E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2.4.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Pr="00187293" w:rsidRDefault="003315EE" w:rsidP="009A2A0B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-Республика Бурятия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9A2A0B">
            <w:pPr>
              <w:jc w:val="center"/>
            </w:pPr>
            <w:r w:rsidRPr="001E6DF0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</w:tr>
      <w:tr w:rsidR="003315EE" w:rsidRPr="00187293" w:rsidTr="003315E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Pr="00187293" w:rsidRDefault="003315E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2.5.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Pr="00187293" w:rsidRDefault="003315EE" w:rsidP="009A2A0B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-Иркутская область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9A2A0B">
            <w:pPr>
              <w:jc w:val="center"/>
            </w:pPr>
            <w:r w:rsidRPr="001E6DF0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</w:tr>
      <w:tr w:rsidR="003315EE" w:rsidRPr="00187293" w:rsidTr="003315E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Pr="00187293" w:rsidRDefault="003315E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2.6.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Pr="00187293" w:rsidRDefault="003315EE" w:rsidP="009A2A0B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-Забайкальский край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9A2A0B">
            <w:pPr>
              <w:jc w:val="center"/>
            </w:pPr>
            <w:r w:rsidRPr="001E6DF0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0,359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3315EE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</w:tr>
      <w:tr w:rsidR="00775F03" w:rsidRPr="00187293" w:rsidTr="003315E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III 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rPr>
                <w:rFonts w:ascii="Verdana" w:hAnsi="Verdana"/>
                <w:color w:val="000000"/>
                <w:sz w:val="20"/>
              </w:rPr>
            </w:pPr>
            <w:bookmarkStart w:id="12" w:name="l204"/>
            <w:bookmarkEnd w:id="12"/>
            <w:r w:rsidRPr="00187293">
              <w:rPr>
                <w:rFonts w:ascii="Verdana" w:hAnsi="Verdana"/>
                <w:color w:val="000000"/>
                <w:sz w:val="20"/>
              </w:rPr>
              <w:t xml:space="preserve">Пассажирооборот по инфраструктуре железнодорожного транспорта общего пользования за год в пригородном сообщении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 w:rsidP="00CC2275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пасс-км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9264EF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283,3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3315EE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270,6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3315EE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270,6</w:t>
            </w:r>
          </w:p>
        </w:tc>
      </w:tr>
      <w:tr w:rsidR="00775F03" w:rsidRPr="00187293" w:rsidTr="003315E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3.</w:t>
            </w:r>
            <w:r>
              <w:rPr>
                <w:rFonts w:ascii="Verdana" w:hAnsi="Verdana"/>
                <w:color w:val="000000"/>
                <w:sz w:val="20"/>
              </w:rPr>
              <w:t>1.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BE24D9" w:rsidP="00A54AC8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в том числе по субъект</w:t>
            </w:r>
            <w:r>
              <w:rPr>
                <w:rFonts w:ascii="Verdana" w:hAnsi="Verdana"/>
                <w:color w:val="000000"/>
                <w:sz w:val="20"/>
              </w:rPr>
              <w:t>ам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 Российской Федерации </w:t>
            </w:r>
          </w:p>
          <w:p w:rsidR="00BE24D9" w:rsidRPr="00187293" w:rsidRDefault="00BE24D9" w:rsidP="00A54AC8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– Красноярский край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 w:rsidP="00CC2275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пасс-км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3315EE" w:rsidRDefault="003315EE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BE24D9" w:rsidRPr="00187293" w:rsidRDefault="003315EE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240,6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3315EE" w:rsidRDefault="003315EE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BE24D9" w:rsidRDefault="003315EE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245,5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E" w:rsidRDefault="003315EE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3315EE" w:rsidRDefault="003315EE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:rsidR="00BE24D9" w:rsidRDefault="003315EE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245,5</w:t>
            </w:r>
          </w:p>
        </w:tc>
      </w:tr>
      <w:tr w:rsidR="00775F03" w:rsidRPr="00187293" w:rsidTr="003315E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3.2.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 w:rsidP="00A54AC8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-Республика Хакасия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 w:rsidP="00CC2275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пасс-км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9264EF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13,7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9264EF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13,8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9264EF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13,8</w:t>
            </w:r>
          </w:p>
        </w:tc>
      </w:tr>
      <w:tr w:rsidR="00775F03" w:rsidRPr="00187293" w:rsidTr="003315E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3.3.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 w:rsidP="00A54AC8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- Кемеровская область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 w:rsidP="00CC2275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пасс-км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9264EF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11,2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9264EF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11,3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9264EF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11,3</w:t>
            </w:r>
          </w:p>
        </w:tc>
      </w:tr>
      <w:tr w:rsidR="00775F03" w:rsidRPr="00187293" w:rsidTr="003315EE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BE24D9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3.4.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 w:rsidP="009A2A0B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-Республика Бурятия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 w:rsidP="009A2A0B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пасс-км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9264EF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BE24D9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BE24D9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</w:tr>
      <w:tr w:rsidR="00775F03" w:rsidRPr="00187293" w:rsidTr="003315EE">
        <w:trPr>
          <w:trHeight w:val="41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BE24D9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3.5.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 w:rsidP="009A2A0B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-Иркутская область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 w:rsidP="009A2A0B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пасс-км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9264EF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BE24D9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BE24D9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</w:tr>
      <w:tr w:rsidR="00775F03" w:rsidRPr="00187293" w:rsidTr="003315EE">
        <w:trPr>
          <w:trHeight w:val="39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BE24D9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3.6.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 w:rsidP="009A2A0B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-Забайкальский край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187293" w:rsidRDefault="00BE24D9" w:rsidP="009A2A0B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пасс-км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9264EF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17,8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BE24D9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Default="00BE24D9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</w:tr>
    </w:tbl>
    <w:p w:rsidR="00C66548" w:rsidRDefault="00187293" w:rsidP="0091107A">
      <w:pPr>
        <w:pStyle w:val="a4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</w:t>
      </w:r>
      <w:bookmarkStart w:id="13" w:name="l205"/>
      <w:bookmarkEnd w:id="13"/>
    </w:p>
    <w:p w:rsidR="00BE24D9" w:rsidRDefault="00BE24D9" w:rsidP="0091107A">
      <w:pPr>
        <w:pStyle w:val="a4"/>
        <w:rPr>
          <w:rFonts w:ascii="Verdana" w:hAnsi="Verdana"/>
          <w:color w:val="000000"/>
          <w:sz w:val="20"/>
          <w:szCs w:val="19"/>
        </w:rPr>
      </w:pPr>
    </w:p>
    <w:p w:rsidR="00180B33" w:rsidRPr="00187293" w:rsidRDefault="00180B33">
      <w:pPr>
        <w:rPr>
          <w:sz w:val="20"/>
        </w:rPr>
      </w:pPr>
    </w:p>
    <w:sectPr w:rsidR="00180B33" w:rsidRPr="00187293" w:rsidSect="005A1DC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7293"/>
    <w:rsid w:val="000036F5"/>
    <w:rsid w:val="00003980"/>
    <w:rsid w:val="00004EAC"/>
    <w:rsid w:val="00013267"/>
    <w:rsid w:val="0001517C"/>
    <w:rsid w:val="000249D5"/>
    <w:rsid w:val="00030DAE"/>
    <w:rsid w:val="0005280D"/>
    <w:rsid w:val="00054D6A"/>
    <w:rsid w:val="00056683"/>
    <w:rsid w:val="00057B94"/>
    <w:rsid w:val="000639E0"/>
    <w:rsid w:val="00072539"/>
    <w:rsid w:val="0007355A"/>
    <w:rsid w:val="0007475D"/>
    <w:rsid w:val="00076E95"/>
    <w:rsid w:val="00077EB5"/>
    <w:rsid w:val="00092A52"/>
    <w:rsid w:val="00094228"/>
    <w:rsid w:val="00095B81"/>
    <w:rsid w:val="000977E9"/>
    <w:rsid w:val="000A0249"/>
    <w:rsid w:val="000A1FC6"/>
    <w:rsid w:val="000A49FE"/>
    <w:rsid w:val="000A5013"/>
    <w:rsid w:val="000A5261"/>
    <w:rsid w:val="000A64E6"/>
    <w:rsid w:val="000B36F5"/>
    <w:rsid w:val="000C0A9B"/>
    <w:rsid w:val="000C39B7"/>
    <w:rsid w:val="000D45B0"/>
    <w:rsid w:val="000E144E"/>
    <w:rsid w:val="000E337C"/>
    <w:rsid w:val="000E47D1"/>
    <w:rsid w:val="000F1DED"/>
    <w:rsid w:val="000F275A"/>
    <w:rsid w:val="000F4BC3"/>
    <w:rsid w:val="000F5FC2"/>
    <w:rsid w:val="000F6BD2"/>
    <w:rsid w:val="000F70D0"/>
    <w:rsid w:val="00100778"/>
    <w:rsid w:val="00101320"/>
    <w:rsid w:val="001029AF"/>
    <w:rsid w:val="0010367A"/>
    <w:rsid w:val="00104E81"/>
    <w:rsid w:val="001115B8"/>
    <w:rsid w:val="001166BB"/>
    <w:rsid w:val="00116EA9"/>
    <w:rsid w:val="00123A2D"/>
    <w:rsid w:val="00124CF9"/>
    <w:rsid w:val="00126289"/>
    <w:rsid w:val="001321DB"/>
    <w:rsid w:val="00133C23"/>
    <w:rsid w:val="00134A28"/>
    <w:rsid w:val="00135708"/>
    <w:rsid w:val="00147FA8"/>
    <w:rsid w:val="00151C64"/>
    <w:rsid w:val="001529FA"/>
    <w:rsid w:val="001602E5"/>
    <w:rsid w:val="0016510D"/>
    <w:rsid w:val="001677B8"/>
    <w:rsid w:val="00177C98"/>
    <w:rsid w:val="00177EFF"/>
    <w:rsid w:val="00180B33"/>
    <w:rsid w:val="00185129"/>
    <w:rsid w:val="00187293"/>
    <w:rsid w:val="001A4A4C"/>
    <w:rsid w:val="001A5388"/>
    <w:rsid w:val="001B3F33"/>
    <w:rsid w:val="001C082C"/>
    <w:rsid w:val="001C12C1"/>
    <w:rsid w:val="001C35C8"/>
    <w:rsid w:val="001C4369"/>
    <w:rsid w:val="001C5B95"/>
    <w:rsid w:val="001C7130"/>
    <w:rsid w:val="001C73D8"/>
    <w:rsid w:val="001E1DC2"/>
    <w:rsid w:val="001E2643"/>
    <w:rsid w:val="001F1DD7"/>
    <w:rsid w:val="001F37E4"/>
    <w:rsid w:val="00200033"/>
    <w:rsid w:val="00202896"/>
    <w:rsid w:val="0020385A"/>
    <w:rsid w:val="00204BFA"/>
    <w:rsid w:val="00207D89"/>
    <w:rsid w:val="00210D61"/>
    <w:rsid w:val="00214C5B"/>
    <w:rsid w:val="00215905"/>
    <w:rsid w:val="00224631"/>
    <w:rsid w:val="00226ABE"/>
    <w:rsid w:val="002278D7"/>
    <w:rsid w:val="00233AEC"/>
    <w:rsid w:val="00235504"/>
    <w:rsid w:val="00242A54"/>
    <w:rsid w:val="002462EE"/>
    <w:rsid w:val="00250633"/>
    <w:rsid w:val="002511ED"/>
    <w:rsid w:val="00254E3B"/>
    <w:rsid w:val="00256C03"/>
    <w:rsid w:val="00264F44"/>
    <w:rsid w:val="00271026"/>
    <w:rsid w:val="00276BA0"/>
    <w:rsid w:val="00277FA7"/>
    <w:rsid w:val="00280D0F"/>
    <w:rsid w:val="00282E31"/>
    <w:rsid w:val="002955BA"/>
    <w:rsid w:val="002A1CE9"/>
    <w:rsid w:val="002A7C4E"/>
    <w:rsid w:val="002B0A22"/>
    <w:rsid w:val="002B35CD"/>
    <w:rsid w:val="002B6C2C"/>
    <w:rsid w:val="002B79B2"/>
    <w:rsid w:val="002C2F4A"/>
    <w:rsid w:val="002C2FEC"/>
    <w:rsid w:val="002D1CC2"/>
    <w:rsid w:val="002D2D02"/>
    <w:rsid w:val="002D35F1"/>
    <w:rsid w:val="002D4EEF"/>
    <w:rsid w:val="002D6AF7"/>
    <w:rsid w:val="002E17C2"/>
    <w:rsid w:val="002E1F26"/>
    <w:rsid w:val="002E209A"/>
    <w:rsid w:val="002E271A"/>
    <w:rsid w:val="002F01DC"/>
    <w:rsid w:val="00303663"/>
    <w:rsid w:val="0030726F"/>
    <w:rsid w:val="003166B5"/>
    <w:rsid w:val="003219EC"/>
    <w:rsid w:val="0032316D"/>
    <w:rsid w:val="00326203"/>
    <w:rsid w:val="00330902"/>
    <w:rsid w:val="003315EE"/>
    <w:rsid w:val="003330BD"/>
    <w:rsid w:val="003434D4"/>
    <w:rsid w:val="00343CFC"/>
    <w:rsid w:val="00345B56"/>
    <w:rsid w:val="003509A2"/>
    <w:rsid w:val="00353221"/>
    <w:rsid w:val="003616D2"/>
    <w:rsid w:val="00365C67"/>
    <w:rsid w:val="0036697A"/>
    <w:rsid w:val="00370467"/>
    <w:rsid w:val="0037198F"/>
    <w:rsid w:val="003746AA"/>
    <w:rsid w:val="003816AA"/>
    <w:rsid w:val="00390AD7"/>
    <w:rsid w:val="00390FFD"/>
    <w:rsid w:val="003953D1"/>
    <w:rsid w:val="003A4C5A"/>
    <w:rsid w:val="003A4C75"/>
    <w:rsid w:val="003A615D"/>
    <w:rsid w:val="003A6AA0"/>
    <w:rsid w:val="003A7A69"/>
    <w:rsid w:val="003B0CD1"/>
    <w:rsid w:val="003B1875"/>
    <w:rsid w:val="003B1B69"/>
    <w:rsid w:val="003B23A2"/>
    <w:rsid w:val="003C2EF3"/>
    <w:rsid w:val="003D2EEA"/>
    <w:rsid w:val="003D7A5D"/>
    <w:rsid w:val="003F2C70"/>
    <w:rsid w:val="003F5C5D"/>
    <w:rsid w:val="00414F35"/>
    <w:rsid w:val="00422F5F"/>
    <w:rsid w:val="00423030"/>
    <w:rsid w:val="00433C81"/>
    <w:rsid w:val="00440FDF"/>
    <w:rsid w:val="004424BB"/>
    <w:rsid w:val="00442B1F"/>
    <w:rsid w:val="00443320"/>
    <w:rsid w:val="004459B6"/>
    <w:rsid w:val="004519B2"/>
    <w:rsid w:val="00453451"/>
    <w:rsid w:val="0045490F"/>
    <w:rsid w:val="00460E5C"/>
    <w:rsid w:val="0046493F"/>
    <w:rsid w:val="004656CD"/>
    <w:rsid w:val="00466AEE"/>
    <w:rsid w:val="0047336F"/>
    <w:rsid w:val="00484704"/>
    <w:rsid w:val="004854E8"/>
    <w:rsid w:val="00493E66"/>
    <w:rsid w:val="0049752E"/>
    <w:rsid w:val="004C6C19"/>
    <w:rsid w:val="004E1B6C"/>
    <w:rsid w:val="004F404F"/>
    <w:rsid w:val="0050045F"/>
    <w:rsid w:val="00500497"/>
    <w:rsid w:val="0050056E"/>
    <w:rsid w:val="00505201"/>
    <w:rsid w:val="00507694"/>
    <w:rsid w:val="005103F2"/>
    <w:rsid w:val="00511AB7"/>
    <w:rsid w:val="00515AFC"/>
    <w:rsid w:val="005552A2"/>
    <w:rsid w:val="00556F7D"/>
    <w:rsid w:val="00562B59"/>
    <w:rsid w:val="0056490B"/>
    <w:rsid w:val="00565FB5"/>
    <w:rsid w:val="00566202"/>
    <w:rsid w:val="00567952"/>
    <w:rsid w:val="005762E8"/>
    <w:rsid w:val="0058245B"/>
    <w:rsid w:val="005852D6"/>
    <w:rsid w:val="005A1DC1"/>
    <w:rsid w:val="005A2DDC"/>
    <w:rsid w:val="005A35F0"/>
    <w:rsid w:val="005B3050"/>
    <w:rsid w:val="005B4432"/>
    <w:rsid w:val="005B5201"/>
    <w:rsid w:val="005C27B0"/>
    <w:rsid w:val="005C5078"/>
    <w:rsid w:val="005D09FC"/>
    <w:rsid w:val="005D12FA"/>
    <w:rsid w:val="005D13E2"/>
    <w:rsid w:val="005D13F7"/>
    <w:rsid w:val="005D1875"/>
    <w:rsid w:val="005D1BEA"/>
    <w:rsid w:val="005D5CB6"/>
    <w:rsid w:val="005E2C1A"/>
    <w:rsid w:val="005E3F3B"/>
    <w:rsid w:val="005E4869"/>
    <w:rsid w:val="005F253C"/>
    <w:rsid w:val="005F2F38"/>
    <w:rsid w:val="0060066C"/>
    <w:rsid w:val="00605B6A"/>
    <w:rsid w:val="00616510"/>
    <w:rsid w:val="00616AF4"/>
    <w:rsid w:val="00622FFB"/>
    <w:rsid w:val="00630F11"/>
    <w:rsid w:val="0063604F"/>
    <w:rsid w:val="006439D3"/>
    <w:rsid w:val="00646F9B"/>
    <w:rsid w:val="006472FF"/>
    <w:rsid w:val="00647992"/>
    <w:rsid w:val="00651BF1"/>
    <w:rsid w:val="00655BED"/>
    <w:rsid w:val="0067044D"/>
    <w:rsid w:val="006833AE"/>
    <w:rsid w:val="00686861"/>
    <w:rsid w:val="0069764D"/>
    <w:rsid w:val="006A16EE"/>
    <w:rsid w:val="006A1AC2"/>
    <w:rsid w:val="006A3195"/>
    <w:rsid w:val="006A3622"/>
    <w:rsid w:val="006A73C6"/>
    <w:rsid w:val="006B13B2"/>
    <w:rsid w:val="006B413D"/>
    <w:rsid w:val="006B69B6"/>
    <w:rsid w:val="006C3FC7"/>
    <w:rsid w:val="006C4497"/>
    <w:rsid w:val="006C4B6F"/>
    <w:rsid w:val="006C4CF6"/>
    <w:rsid w:val="006C6DE8"/>
    <w:rsid w:val="006D3D9B"/>
    <w:rsid w:val="006E2AE0"/>
    <w:rsid w:val="006E5D12"/>
    <w:rsid w:val="006F1958"/>
    <w:rsid w:val="00702F71"/>
    <w:rsid w:val="007044A8"/>
    <w:rsid w:val="00713804"/>
    <w:rsid w:val="00724184"/>
    <w:rsid w:val="00725350"/>
    <w:rsid w:val="00731F42"/>
    <w:rsid w:val="00733482"/>
    <w:rsid w:val="007373CF"/>
    <w:rsid w:val="00737ADE"/>
    <w:rsid w:val="007439B3"/>
    <w:rsid w:val="00746797"/>
    <w:rsid w:val="00751498"/>
    <w:rsid w:val="007609E6"/>
    <w:rsid w:val="007621B1"/>
    <w:rsid w:val="00764967"/>
    <w:rsid w:val="00775F03"/>
    <w:rsid w:val="00776FBE"/>
    <w:rsid w:val="00781AB5"/>
    <w:rsid w:val="00787DD8"/>
    <w:rsid w:val="007B0CAF"/>
    <w:rsid w:val="007B29DD"/>
    <w:rsid w:val="007D0690"/>
    <w:rsid w:val="007D2C68"/>
    <w:rsid w:val="007D3561"/>
    <w:rsid w:val="007D694F"/>
    <w:rsid w:val="007E10F8"/>
    <w:rsid w:val="007E3342"/>
    <w:rsid w:val="007E5FCA"/>
    <w:rsid w:val="007F58F2"/>
    <w:rsid w:val="007F780B"/>
    <w:rsid w:val="00806EB5"/>
    <w:rsid w:val="0081517D"/>
    <w:rsid w:val="008246EE"/>
    <w:rsid w:val="00830E60"/>
    <w:rsid w:val="00832938"/>
    <w:rsid w:val="00836C9E"/>
    <w:rsid w:val="00836F0D"/>
    <w:rsid w:val="008438A8"/>
    <w:rsid w:val="00843CEF"/>
    <w:rsid w:val="00847375"/>
    <w:rsid w:val="00847DA0"/>
    <w:rsid w:val="0085118C"/>
    <w:rsid w:val="00852066"/>
    <w:rsid w:val="008541B0"/>
    <w:rsid w:val="00856E99"/>
    <w:rsid w:val="00856FFF"/>
    <w:rsid w:val="00861A25"/>
    <w:rsid w:val="00871679"/>
    <w:rsid w:val="00871F80"/>
    <w:rsid w:val="00874C21"/>
    <w:rsid w:val="008755A5"/>
    <w:rsid w:val="00877260"/>
    <w:rsid w:val="0088589E"/>
    <w:rsid w:val="008A1908"/>
    <w:rsid w:val="008A19E7"/>
    <w:rsid w:val="008B3C67"/>
    <w:rsid w:val="008B4A0E"/>
    <w:rsid w:val="008B644C"/>
    <w:rsid w:val="008B780E"/>
    <w:rsid w:val="008C0936"/>
    <w:rsid w:val="008C35E9"/>
    <w:rsid w:val="008C6A5E"/>
    <w:rsid w:val="008C71C8"/>
    <w:rsid w:val="008D08DB"/>
    <w:rsid w:val="008D137C"/>
    <w:rsid w:val="008D663E"/>
    <w:rsid w:val="008D6A14"/>
    <w:rsid w:val="008D746F"/>
    <w:rsid w:val="008E3360"/>
    <w:rsid w:val="00902B0F"/>
    <w:rsid w:val="00906B8D"/>
    <w:rsid w:val="0091040C"/>
    <w:rsid w:val="0091107A"/>
    <w:rsid w:val="0091416E"/>
    <w:rsid w:val="009141C0"/>
    <w:rsid w:val="00916287"/>
    <w:rsid w:val="009249C0"/>
    <w:rsid w:val="00925AD2"/>
    <w:rsid w:val="009264EF"/>
    <w:rsid w:val="00927DD7"/>
    <w:rsid w:val="009301BE"/>
    <w:rsid w:val="009338A7"/>
    <w:rsid w:val="00936A90"/>
    <w:rsid w:val="009400B0"/>
    <w:rsid w:val="009408D2"/>
    <w:rsid w:val="0094341F"/>
    <w:rsid w:val="0096638D"/>
    <w:rsid w:val="00967E5F"/>
    <w:rsid w:val="009704B3"/>
    <w:rsid w:val="009742CE"/>
    <w:rsid w:val="009950A0"/>
    <w:rsid w:val="009965BB"/>
    <w:rsid w:val="009A191B"/>
    <w:rsid w:val="009A2A0B"/>
    <w:rsid w:val="009A2F21"/>
    <w:rsid w:val="009A64C5"/>
    <w:rsid w:val="009A7780"/>
    <w:rsid w:val="009B6DFB"/>
    <w:rsid w:val="009C24E2"/>
    <w:rsid w:val="009C32FB"/>
    <w:rsid w:val="009C7086"/>
    <w:rsid w:val="009C7BBB"/>
    <w:rsid w:val="009D4C85"/>
    <w:rsid w:val="009D5E82"/>
    <w:rsid w:val="009D7978"/>
    <w:rsid w:val="009E7A3E"/>
    <w:rsid w:val="009F3593"/>
    <w:rsid w:val="009F4059"/>
    <w:rsid w:val="009F42E4"/>
    <w:rsid w:val="00A01A7B"/>
    <w:rsid w:val="00A043AF"/>
    <w:rsid w:val="00A05DFB"/>
    <w:rsid w:val="00A0658D"/>
    <w:rsid w:val="00A12DF9"/>
    <w:rsid w:val="00A17944"/>
    <w:rsid w:val="00A22C1C"/>
    <w:rsid w:val="00A22EC5"/>
    <w:rsid w:val="00A24F89"/>
    <w:rsid w:val="00A355B4"/>
    <w:rsid w:val="00A45BA8"/>
    <w:rsid w:val="00A46FA6"/>
    <w:rsid w:val="00A54AC8"/>
    <w:rsid w:val="00A5521E"/>
    <w:rsid w:val="00A61A0F"/>
    <w:rsid w:val="00A73FA2"/>
    <w:rsid w:val="00A81A80"/>
    <w:rsid w:val="00A81B52"/>
    <w:rsid w:val="00A84EF9"/>
    <w:rsid w:val="00A912AE"/>
    <w:rsid w:val="00A93CF8"/>
    <w:rsid w:val="00A950B1"/>
    <w:rsid w:val="00AA69C2"/>
    <w:rsid w:val="00AB4EA7"/>
    <w:rsid w:val="00AC1B0D"/>
    <w:rsid w:val="00AC37E2"/>
    <w:rsid w:val="00AC3888"/>
    <w:rsid w:val="00AC3D6D"/>
    <w:rsid w:val="00AD10F6"/>
    <w:rsid w:val="00AD4024"/>
    <w:rsid w:val="00AD53E5"/>
    <w:rsid w:val="00AD66E8"/>
    <w:rsid w:val="00AF012E"/>
    <w:rsid w:val="00AF1EF6"/>
    <w:rsid w:val="00AF69D6"/>
    <w:rsid w:val="00B0204B"/>
    <w:rsid w:val="00B079CA"/>
    <w:rsid w:val="00B07C33"/>
    <w:rsid w:val="00B10B07"/>
    <w:rsid w:val="00B17474"/>
    <w:rsid w:val="00B20D25"/>
    <w:rsid w:val="00B34082"/>
    <w:rsid w:val="00B37733"/>
    <w:rsid w:val="00B620F8"/>
    <w:rsid w:val="00B72613"/>
    <w:rsid w:val="00B7305E"/>
    <w:rsid w:val="00B800E6"/>
    <w:rsid w:val="00B93F7F"/>
    <w:rsid w:val="00BA3A12"/>
    <w:rsid w:val="00BA3E03"/>
    <w:rsid w:val="00BA5972"/>
    <w:rsid w:val="00BA723C"/>
    <w:rsid w:val="00BB3407"/>
    <w:rsid w:val="00BD27C2"/>
    <w:rsid w:val="00BD4149"/>
    <w:rsid w:val="00BE1E56"/>
    <w:rsid w:val="00BE24D9"/>
    <w:rsid w:val="00BE6619"/>
    <w:rsid w:val="00BF194B"/>
    <w:rsid w:val="00C008E1"/>
    <w:rsid w:val="00C00D82"/>
    <w:rsid w:val="00C036CD"/>
    <w:rsid w:val="00C05522"/>
    <w:rsid w:val="00C10DE5"/>
    <w:rsid w:val="00C120C5"/>
    <w:rsid w:val="00C27CE1"/>
    <w:rsid w:val="00C320C9"/>
    <w:rsid w:val="00C35A02"/>
    <w:rsid w:val="00C43D20"/>
    <w:rsid w:val="00C4402D"/>
    <w:rsid w:val="00C44456"/>
    <w:rsid w:val="00C55E59"/>
    <w:rsid w:val="00C5603A"/>
    <w:rsid w:val="00C60430"/>
    <w:rsid w:val="00C628B8"/>
    <w:rsid w:val="00C62A50"/>
    <w:rsid w:val="00C64FC9"/>
    <w:rsid w:val="00C65F1C"/>
    <w:rsid w:val="00C66548"/>
    <w:rsid w:val="00C66D28"/>
    <w:rsid w:val="00C73612"/>
    <w:rsid w:val="00C73ABC"/>
    <w:rsid w:val="00C80642"/>
    <w:rsid w:val="00C80D39"/>
    <w:rsid w:val="00C84A66"/>
    <w:rsid w:val="00C855C0"/>
    <w:rsid w:val="00C92464"/>
    <w:rsid w:val="00C972D5"/>
    <w:rsid w:val="00CB7832"/>
    <w:rsid w:val="00CB7E19"/>
    <w:rsid w:val="00CC1559"/>
    <w:rsid w:val="00CC2275"/>
    <w:rsid w:val="00CC554E"/>
    <w:rsid w:val="00CD2851"/>
    <w:rsid w:val="00CD3F4C"/>
    <w:rsid w:val="00CE0533"/>
    <w:rsid w:val="00CE08F9"/>
    <w:rsid w:val="00CE096B"/>
    <w:rsid w:val="00CE2C58"/>
    <w:rsid w:val="00CE7620"/>
    <w:rsid w:val="00CF45B2"/>
    <w:rsid w:val="00CF61B8"/>
    <w:rsid w:val="00CF7CC7"/>
    <w:rsid w:val="00D07A25"/>
    <w:rsid w:val="00D11F3C"/>
    <w:rsid w:val="00D202CC"/>
    <w:rsid w:val="00D210BE"/>
    <w:rsid w:val="00D259F6"/>
    <w:rsid w:val="00D26370"/>
    <w:rsid w:val="00D31AB0"/>
    <w:rsid w:val="00D3232C"/>
    <w:rsid w:val="00D41224"/>
    <w:rsid w:val="00D45CC0"/>
    <w:rsid w:val="00D4679C"/>
    <w:rsid w:val="00D631BD"/>
    <w:rsid w:val="00D634BC"/>
    <w:rsid w:val="00D6679B"/>
    <w:rsid w:val="00D779FE"/>
    <w:rsid w:val="00D83450"/>
    <w:rsid w:val="00D854E4"/>
    <w:rsid w:val="00D90759"/>
    <w:rsid w:val="00D936FC"/>
    <w:rsid w:val="00D93BB7"/>
    <w:rsid w:val="00DA31CC"/>
    <w:rsid w:val="00DA719E"/>
    <w:rsid w:val="00DB7D9C"/>
    <w:rsid w:val="00DB7E6C"/>
    <w:rsid w:val="00DB7ECE"/>
    <w:rsid w:val="00DC041D"/>
    <w:rsid w:val="00DC0F28"/>
    <w:rsid w:val="00DC72E7"/>
    <w:rsid w:val="00DD5B23"/>
    <w:rsid w:val="00DE406D"/>
    <w:rsid w:val="00DE4721"/>
    <w:rsid w:val="00DE5DEB"/>
    <w:rsid w:val="00DF0D9A"/>
    <w:rsid w:val="00DF4CDA"/>
    <w:rsid w:val="00DF60BA"/>
    <w:rsid w:val="00E01A17"/>
    <w:rsid w:val="00E04E57"/>
    <w:rsid w:val="00E061AC"/>
    <w:rsid w:val="00E07AAE"/>
    <w:rsid w:val="00E11F6E"/>
    <w:rsid w:val="00E1256D"/>
    <w:rsid w:val="00E1375B"/>
    <w:rsid w:val="00E14C0D"/>
    <w:rsid w:val="00E214CE"/>
    <w:rsid w:val="00E24D6B"/>
    <w:rsid w:val="00E31632"/>
    <w:rsid w:val="00E471A7"/>
    <w:rsid w:val="00E54908"/>
    <w:rsid w:val="00E81F51"/>
    <w:rsid w:val="00E85A80"/>
    <w:rsid w:val="00E9016A"/>
    <w:rsid w:val="00E916EE"/>
    <w:rsid w:val="00E91A82"/>
    <w:rsid w:val="00E91A97"/>
    <w:rsid w:val="00E9245F"/>
    <w:rsid w:val="00E92901"/>
    <w:rsid w:val="00E95FA6"/>
    <w:rsid w:val="00EA02B4"/>
    <w:rsid w:val="00EA0F15"/>
    <w:rsid w:val="00EA443E"/>
    <w:rsid w:val="00EA67AC"/>
    <w:rsid w:val="00EB1CEC"/>
    <w:rsid w:val="00EB4217"/>
    <w:rsid w:val="00EB6B2B"/>
    <w:rsid w:val="00EB6B98"/>
    <w:rsid w:val="00EC64D1"/>
    <w:rsid w:val="00ED04EA"/>
    <w:rsid w:val="00ED0CA6"/>
    <w:rsid w:val="00ED1AF6"/>
    <w:rsid w:val="00EE2D0D"/>
    <w:rsid w:val="00EE55CA"/>
    <w:rsid w:val="00EF0382"/>
    <w:rsid w:val="00EF1CEC"/>
    <w:rsid w:val="00EF24B5"/>
    <w:rsid w:val="00EF6926"/>
    <w:rsid w:val="00F07937"/>
    <w:rsid w:val="00F13346"/>
    <w:rsid w:val="00F1663A"/>
    <w:rsid w:val="00F308AD"/>
    <w:rsid w:val="00F3490D"/>
    <w:rsid w:val="00F3663C"/>
    <w:rsid w:val="00F403C2"/>
    <w:rsid w:val="00F41A5E"/>
    <w:rsid w:val="00F4757A"/>
    <w:rsid w:val="00F4758A"/>
    <w:rsid w:val="00F504FC"/>
    <w:rsid w:val="00F5520F"/>
    <w:rsid w:val="00F6183E"/>
    <w:rsid w:val="00F62D25"/>
    <w:rsid w:val="00F6331C"/>
    <w:rsid w:val="00F71867"/>
    <w:rsid w:val="00F75201"/>
    <w:rsid w:val="00F80F00"/>
    <w:rsid w:val="00F81031"/>
    <w:rsid w:val="00F85498"/>
    <w:rsid w:val="00F85FE1"/>
    <w:rsid w:val="00F929B4"/>
    <w:rsid w:val="00FA196B"/>
    <w:rsid w:val="00FC769A"/>
    <w:rsid w:val="00FD6009"/>
    <w:rsid w:val="00FE0CEF"/>
    <w:rsid w:val="00FE2DA8"/>
    <w:rsid w:val="00FF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87293"/>
    <w:rPr>
      <w:color w:val="0066CC"/>
      <w:u w:val="single"/>
    </w:rPr>
  </w:style>
  <w:style w:type="paragraph" w:styleId="a4">
    <w:name w:val="Normal (Web)"/>
    <w:basedOn w:val="a"/>
    <w:rsid w:val="00187293"/>
    <w:pPr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7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4918">
                              <w:marLeft w:val="3800"/>
                              <w:marRight w:val="4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</cp:lastModifiedBy>
  <cp:revision>2</cp:revision>
  <cp:lastPrinted>2012-04-25T06:44:00Z</cp:lastPrinted>
  <dcterms:created xsi:type="dcterms:W3CDTF">2013-04-11T02:25:00Z</dcterms:created>
  <dcterms:modified xsi:type="dcterms:W3CDTF">2013-04-11T02:25:00Z</dcterms:modified>
</cp:coreProperties>
</file>